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DE279C">
            <w:rPr>
              <w:rStyle w:val="Style1"/>
            </w:rPr>
            <w:t>0</w:t>
          </w:r>
          <w:r w:rsidR="006D05EA">
            <w:rPr>
              <w:rStyle w:val="Style1"/>
            </w:rPr>
            <w:t>566</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DE279C">
            <w:rPr>
              <w:rStyle w:val="Style1"/>
            </w:rPr>
            <w:t xml:space="preserve">Age-Related Macular Degeneration (AMD): </w:t>
          </w:r>
          <w:r w:rsidR="006D05EA">
            <w:rPr>
              <w:rStyle w:val="Style1"/>
            </w:rPr>
            <w:t>Counselling on Antioxidant Supplement</w:t>
          </w:r>
          <w:r w:rsidR="00DE279C">
            <w:rPr>
              <w:rStyle w:val="Style1"/>
            </w:rPr>
            <w:t xml:space="preserve"> </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3-19T00:00:00Z">
            <w:dateFormat w:val="M/d/yyyy"/>
            <w:lid w:val="en-US"/>
            <w:storeMappedDataAs w:val="dateTime"/>
            <w:calendar w:val="gregorian"/>
          </w:date>
        </w:sdtPr>
        <w:sdtEndPr>
          <w:rPr>
            <w:rStyle w:val="DefaultParagraphFont"/>
            <w:noProof/>
            <w:color w:val="auto"/>
            <w:u w:val="none"/>
          </w:rPr>
        </w:sdtEndPr>
        <w:sdtContent>
          <w:r w:rsidR="00DE279C">
            <w:rPr>
              <w:rStyle w:val="Style2"/>
            </w:rPr>
            <w:t>3/19/2015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3102CD"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3102CD"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3102CD"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3102CD"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7F207F">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AB13E6">
            <w:rPr>
              <w:rStyle w:val="Style2"/>
              <w:rFonts w:cstheme="minorHAnsi"/>
            </w:rPr>
            <w:t xml:space="preserve">Patient </w:t>
          </w:r>
          <w:proofErr w:type="gramStart"/>
          <w:r w:rsidR="00AB13E6">
            <w:rPr>
              <w:rStyle w:val="Style2"/>
              <w:rFonts w:cstheme="minorHAnsi"/>
            </w:rPr>
            <w:t>Counseling</w:t>
          </w:r>
          <w:proofErr w:type="gramEnd"/>
          <w:r w:rsidR="00AB13E6">
            <w:rPr>
              <w:rStyle w:val="Style2"/>
              <w:rFonts w:cstheme="minorHAnsi"/>
            </w:rPr>
            <w:t xml:space="preserve"> on the benefits and/or risks of antioxidant supplements for preventing progression of age-related macular degeneration</w:t>
          </w:r>
        </w:sdtContent>
      </w:sdt>
    </w:p>
    <w:p w:rsidR="00496AF8" w:rsidRPr="003B1CC5" w:rsidRDefault="003102CD"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3102CD"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Default="007C1887" w:rsidP="002E2177">
      <w:pPr>
        <w:ind w:left="0" w:firstLine="0"/>
      </w:pPr>
    </w:p>
    <w:p w:rsidR="00AB13E6" w:rsidRDefault="00AB13E6" w:rsidP="00AB13E6">
      <w:pPr>
        <w:ind w:left="0" w:firstLine="0"/>
      </w:pPr>
      <w:r>
        <w:t>Antioxidant vitamins and mineral supplements help to reduce the rate of progression to advanced AMD for those patients with intermediate or advanced AMD in one eye. From the same AREDS study, there is no evidence that the use of antioxidant vitamin and mineral supplements for patients with mild AMD alters the natural history of mild AMD.</w:t>
      </w:r>
    </w:p>
    <w:p w:rsidR="00AB13E6" w:rsidRDefault="00AB13E6" w:rsidP="00AB13E6">
      <w:pPr>
        <w:ind w:left="0" w:firstLine="0"/>
      </w:pPr>
    </w:p>
    <w:p w:rsidR="00AB13E6" w:rsidRDefault="00AB13E6" w:rsidP="00AB13E6">
      <w:pPr>
        <w:ind w:left="0" w:firstLine="0"/>
      </w:pPr>
      <w:r>
        <w:t>At the same time, published meta-analyses have raised an issue as to the presence of an elevated mortality risk among patients taking elements similar to parts of the AREDS formulation (and elevated risk among smokers). As such, patients need to know of their individualized risk profile for taking the AREDS formula AND the potential benefits, so that they can make their OWN individual decision as to whether or not to take the AREDS formulation.</w:t>
      </w:r>
    </w:p>
    <w:p w:rsidR="00AB13E6" w:rsidRDefault="00AB13E6" w:rsidP="00AB13E6">
      <w:pPr>
        <w:ind w:left="0" w:firstLine="0"/>
      </w:pPr>
    </w:p>
    <w:p w:rsidR="007F207F" w:rsidRDefault="00AB13E6" w:rsidP="00AB13E6">
      <w:pPr>
        <w:ind w:left="0" w:firstLine="0"/>
      </w:pPr>
      <w:r>
        <w:t xml:space="preserve">This indicator thus seeks to directly enhance the provider-patient relationship to apply the results of level 1 randomized controlled </w:t>
      </w:r>
      <w:proofErr w:type="gramStart"/>
      <w:r>
        <w:t>trials</w:t>
      </w:r>
      <w:proofErr w:type="gramEnd"/>
      <w:r>
        <w:t xml:space="preserve"> (RCTs) in a manner that accommodates the needs of each individual patient in a patient-centered manner, rather than a paternalistic approach of either recommending or withholding treatment.</w:t>
      </w:r>
    </w:p>
    <w:p w:rsidR="00AB13E6" w:rsidRPr="003B1CC5" w:rsidRDefault="00AB13E6" w:rsidP="00AB13E6">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3102CD"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7F207F">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3102CD"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3102CD"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3102CD"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99585C" w:rsidRDefault="0099585C" w:rsidP="002E2177">
      <w:pPr>
        <w:ind w:left="0" w:firstLine="0"/>
      </w:pPr>
      <w:proofErr w:type="gramStart"/>
      <w:r w:rsidRPr="0099585C">
        <w:t>American Academy of Ophthalmology Retina/Vitreous Panel.</w:t>
      </w:r>
      <w:proofErr w:type="gramEnd"/>
      <w:r w:rsidRPr="0099585C">
        <w:t xml:space="preserve"> </w:t>
      </w:r>
      <w:proofErr w:type="gramStart"/>
      <w:r w:rsidRPr="0099585C">
        <w:t xml:space="preserve">Preferred Practice </w:t>
      </w:r>
      <w:proofErr w:type="spellStart"/>
      <w:r w:rsidRPr="0099585C">
        <w:t>Pattern®Guidelines</w:t>
      </w:r>
      <w:proofErr w:type="spellEnd"/>
      <w:r w:rsidRPr="0099585C">
        <w:t>.</w:t>
      </w:r>
      <w:proofErr w:type="gramEnd"/>
      <w:r w:rsidRPr="0099585C">
        <w:t xml:space="preserve"> </w:t>
      </w:r>
      <w:proofErr w:type="gramStart"/>
      <w:r w:rsidRPr="0099585C">
        <w:t>Age-Related Macular Degeneration.</w:t>
      </w:r>
      <w:proofErr w:type="gramEnd"/>
      <w:r w:rsidRPr="0099585C">
        <w:t xml:space="preserve"> San Francisco, CA: American Academy of Ophthalmology; 2015.</w:t>
      </w:r>
    </w:p>
    <w:p w:rsidR="0099585C" w:rsidRDefault="0099585C" w:rsidP="002E2177">
      <w:pPr>
        <w:ind w:left="0" w:firstLine="0"/>
      </w:pPr>
    </w:p>
    <w:p w:rsidR="0099585C" w:rsidRPr="003B1CC5" w:rsidRDefault="0099585C" w:rsidP="002E2177">
      <w:pPr>
        <w:ind w:left="0" w:firstLine="0"/>
      </w:pPr>
      <w:r w:rsidRPr="0099585C">
        <w:t>Available at: www.aao.org/ppp.</w:t>
      </w:r>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Default="00496AF8" w:rsidP="002E2177">
      <w:pPr>
        <w:ind w:left="0" w:firstLine="0"/>
      </w:pPr>
    </w:p>
    <w:p w:rsidR="0099585C" w:rsidRDefault="00194E8E" w:rsidP="00377F8B">
      <w:pPr>
        <w:ind w:left="0" w:firstLine="0"/>
      </w:pPr>
      <w:r w:rsidRPr="00377F8B">
        <w:rPr>
          <w:b/>
        </w:rPr>
        <w:t>Recommendation:</w:t>
      </w:r>
      <w:r>
        <w:t xml:space="preserve"> </w:t>
      </w:r>
      <w:r w:rsidR="006266E5" w:rsidRPr="006266E5">
        <w:t>Page 19: Treatment with antioxidants and minerals as described previously in the original AREDS and AREDS2 trials is recommended for patients who have progressed to intermediate or advanced AMD in at least one eye</w:t>
      </w:r>
      <w:r w:rsidR="00354D6D">
        <w:t>.</w:t>
      </w:r>
    </w:p>
    <w:p w:rsidR="00194E8E" w:rsidRDefault="00194E8E" w:rsidP="00377F8B">
      <w:pPr>
        <w:ind w:left="0" w:firstLine="0"/>
      </w:pPr>
      <w:r w:rsidRPr="00377F8B">
        <w:rPr>
          <w:b/>
        </w:rPr>
        <w:t>Page:</w:t>
      </w:r>
      <w:r w:rsidR="006266E5">
        <w:t xml:space="preserve"> 19</w:t>
      </w:r>
    </w:p>
    <w:p w:rsidR="0099585C" w:rsidRDefault="0099585C"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Default="008A45F3" w:rsidP="00265702">
      <w:pPr>
        <w:ind w:left="0" w:firstLine="0"/>
      </w:pPr>
    </w:p>
    <w:p w:rsidR="00194E8E" w:rsidRDefault="00194E8E" w:rsidP="00377F8B">
      <w:pPr>
        <w:ind w:left="0" w:firstLine="0"/>
      </w:pPr>
      <w:r w:rsidRPr="00377F8B">
        <w:rPr>
          <w:b/>
        </w:rPr>
        <w:t>Grade:</w:t>
      </w:r>
      <w:r>
        <w:t xml:space="preserve"> Strong</w:t>
      </w:r>
    </w:p>
    <w:p w:rsidR="00194E8E" w:rsidRDefault="00194E8E" w:rsidP="00377F8B">
      <w:pPr>
        <w:ind w:left="0" w:firstLine="0"/>
      </w:pPr>
      <w:r w:rsidRPr="00377F8B">
        <w:rPr>
          <w:b/>
        </w:rPr>
        <w:t>Definition:</w:t>
      </w:r>
      <w:r>
        <w:t xml:space="preserve"> </w:t>
      </w:r>
      <w:r w:rsidRPr="00194E8E">
        <w:t xml:space="preserve">Used when the desirable effects of an intervention clearly </w:t>
      </w:r>
      <w:proofErr w:type="gramStart"/>
      <w:r w:rsidRPr="00194E8E">
        <w:t>o</w:t>
      </w:r>
      <w:r>
        <w:t>utweigh</w:t>
      </w:r>
      <w:proofErr w:type="gramEnd"/>
      <w:r>
        <w:t xml:space="preserve"> the undesirable effects </w:t>
      </w:r>
      <w:r w:rsidRPr="00194E8E">
        <w:t>or clearly do not</w:t>
      </w:r>
      <w:r>
        <w:t xml:space="preserve">  </w:t>
      </w: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99585C" w:rsidRPr="0099585C" w:rsidRDefault="0099585C" w:rsidP="0099585C">
      <w:pPr>
        <w:pStyle w:val="NormalWeb"/>
        <w:numPr>
          <w:ilvl w:val="0"/>
          <w:numId w:val="12"/>
        </w:numPr>
        <w:shd w:val="clear" w:color="auto" w:fill="FFFFFF"/>
        <w:spacing w:before="0" w:beforeAutospacing="0" w:after="150" w:afterAutospacing="0" w:line="312" w:lineRule="atLeast"/>
        <w:rPr>
          <w:rFonts w:asciiTheme="minorHAnsi" w:hAnsiTheme="minorHAnsi" w:cs="Arial"/>
          <w:color w:val="333333"/>
          <w:sz w:val="22"/>
          <w:szCs w:val="22"/>
        </w:rPr>
      </w:pPr>
      <w:r w:rsidRPr="0099585C">
        <w:rPr>
          <w:rFonts w:asciiTheme="minorHAnsi" w:hAnsiTheme="minorHAnsi" w:cs="Arial"/>
          <w:color w:val="333333"/>
          <w:sz w:val="22"/>
          <w:szCs w:val="22"/>
        </w:rPr>
        <w:t>Key recommendations for care are defined by GRADE</w:t>
      </w:r>
      <w:r w:rsidRPr="0099585C">
        <w:rPr>
          <w:rStyle w:val="apple-converted-space"/>
          <w:rFonts w:asciiTheme="minorHAnsi" w:hAnsiTheme="minorHAnsi" w:cs="Arial"/>
          <w:color w:val="333333"/>
          <w:sz w:val="22"/>
          <w:szCs w:val="22"/>
        </w:rPr>
        <w:t> </w:t>
      </w:r>
      <w:r w:rsidRPr="0099585C">
        <w:rPr>
          <w:rFonts w:asciiTheme="minorHAnsi" w:hAnsiTheme="minorHAnsi" w:cs="Arial"/>
          <w:color w:val="333333"/>
          <w:sz w:val="22"/>
          <w:szCs w:val="22"/>
        </w:rPr>
        <w:t>as follows:</w:t>
      </w:r>
    </w:p>
    <w:p w:rsidR="0099585C" w:rsidRDefault="0099585C" w:rsidP="0099585C">
      <w:pPr>
        <w:pStyle w:val="NormalWeb"/>
        <w:shd w:val="clear" w:color="auto" w:fill="FFFFFF"/>
        <w:spacing w:before="0" w:beforeAutospacing="0" w:after="150" w:afterAutospacing="0" w:line="312" w:lineRule="atLeast"/>
        <w:ind w:left="720"/>
        <w:rPr>
          <w:rFonts w:ascii="Arial" w:hAnsi="Arial" w:cs="Arial"/>
          <w:color w:val="333333"/>
          <w:sz w:val="21"/>
          <w:szCs w:val="21"/>
        </w:rPr>
      </w:pP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344"/>
        <w:gridCol w:w="7661"/>
      </w:tblGrid>
      <w:tr w:rsidR="0099585C" w:rsidRPr="0099585C" w:rsidTr="0099585C">
        <w:tc>
          <w:tcPr>
            <w:tcW w:w="0" w:type="auto"/>
            <w:shd w:val="clear" w:color="auto" w:fill="FFFFFF"/>
            <w:tcMar>
              <w:top w:w="120" w:type="dxa"/>
              <w:left w:w="120" w:type="dxa"/>
              <w:bottom w:w="120" w:type="dxa"/>
              <w:right w:w="120" w:type="dxa"/>
            </w:tcMar>
            <w:hideMark/>
          </w:tcPr>
          <w:p w:rsidR="0099585C" w:rsidRPr="0099585C" w:rsidRDefault="0099585C">
            <w:pPr>
              <w:pStyle w:val="NormalWeb"/>
              <w:spacing w:before="0" w:beforeAutospacing="0" w:after="150" w:afterAutospacing="0"/>
              <w:rPr>
                <w:rFonts w:asciiTheme="minorHAnsi" w:hAnsiTheme="minorHAnsi" w:cs="Arial"/>
                <w:color w:val="333333"/>
                <w:sz w:val="22"/>
                <w:szCs w:val="22"/>
              </w:rPr>
            </w:pPr>
            <w:r w:rsidRPr="0099585C">
              <w:rPr>
                <w:rFonts w:asciiTheme="minorHAnsi" w:hAnsiTheme="minorHAnsi" w:cs="Arial"/>
                <w:color w:val="333333"/>
                <w:sz w:val="22"/>
                <w:szCs w:val="22"/>
              </w:rPr>
              <w:t>Strong recommendation</w:t>
            </w:r>
          </w:p>
        </w:tc>
        <w:tc>
          <w:tcPr>
            <w:tcW w:w="0" w:type="auto"/>
            <w:shd w:val="clear" w:color="auto" w:fill="FFFFFF"/>
            <w:tcMar>
              <w:top w:w="120" w:type="dxa"/>
              <w:left w:w="120" w:type="dxa"/>
              <w:bottom w:w="120" w:type="dxa"/>
              <w:right w:w="120" w:type="dxa"/>
            </w:tcMar>
            <w:hideMark/>
          </w:tcPr>
          <w:p w:rsidR="0099585C" w:rsidRPr="0099585C" w:rsidRDefault="0099585C">
            <w:pPr>
              <w:pStyle w:val="NormalWeb"/>
              <w:spacing w:before="0" w:beforeAutospacing="0" w:after="150" w:afterAutospacing="0"/>
              <w:rPr>
                <w:rFonts w:asciiTheme="minorHAnsi" w:hAnsiTheme="minorHAnsi" w:cs="Arial"/>
                <w:color w:val="333333"/>
                <w:sz w:val="22"/>
                <w:szCs w:val="22"/>
              </w:rPr>
            </w:pPr>
            <w:r w:rsidRPr="0099585C">
              <w:rPr>
                <w:rFonts w:asciiTheme="minorHAnsi" w:hAnsiTheme="minorHAnsi" w:cs="Arial"/>
                <w:color w:val="333333"/>
                <w:sz w:val="22"/>
                <w:szCs w:val="22"/>
              </w:rPr>
              <w:t>Used when the desirable effects of an intervention clearly outweigh the undesirable effects or clearly do not</w:t>
            </w:r>
          </w:p>
        </w:tc>
      </w:tr>
      <w:tr w:rsidR="0099585C" w:rsidRPr="0099585C" w:rsidTr="0099585C">
        <w:tc>
          <w:tcPr>
            <w:tcW w:w="0" w:type="auto"/>
            <w:shd w:val="clear" w:color="auto" w:fill="FFFFFF"/>
            <w:tcMar>
              <w:top w:w="120" w:type="dxa"/>
              <w:left w:w="120" w:type="dxa"/>
              <w:bottom w:w="120" w:type="dxa"/>
              <w:right w:w="120" w:type="dxa"/>
            </w:tcMar>
            <w:hideMark/>
          </w:tcPr>
          <w:p w:rsidR="0099585C" w:rsidRPr="0099585C" w:rsidRDefault="0099585C">
            <w:pPr>
              <w:pStyle w:val="NormalWeb"/>
              <w:spacing w:before="0" w:beforeAutospacing="0" w:after="150" w:afterAutospacing="0"/>
              <w:rPr>
                <w:rFonts w:asciiTheme="minorHAnsi" w:hAnsiTheme="minorHAnsi" w:cs="Arial"/>
                <w:color w:val="333333"/>
                <w:sz w:val="22"/>
                <w:szCs w:val="22"/>
              </w:rPr>
            </w:pPr>
            <w:r w:rsidRPr="0099585C">
              <w:rPr>
                <w:rFonts w:asciiTheme="minorHAnsi" w:hAnsiTheme="minorHAnsi" w:cs="Arial"/>
                <w:color w:val="333333"/>
                <w:sz w:val="22"/>
                <w:szCs w:val="22"/>
              </w:rPr>
              <w:t>Discretionary recommendation</w:t>
            </w:r>
          </w:p>
        </w:tc>
        <w:tc>
          <w:tcPr>
            <w:tcW w:w="0" w:type="auto"/>
            <w:shd w:val="clear" w:color="auto" w:fill="FFFFFF"/>
            <w:tcMar>
              <w:top w:w="120" w:type="dxa"/>
              <w:left w:w="120" w:type="dxa"/>
              <w:bottom w:w="120" w:type="dxa"/>
              <w:right w:w="120" w:type="dxa"/>
            </w:tcMar>
            <w:hideMark/>
          </w:tcPr>
          <w:p w:rsidR="0099585C" w:rsidRPr="0099585C" w:rsidRDefault="0099585C">
            <w:pPr>
              <w:pStyle w:val="NormalWeb"/>
              <w:spacing w:before="0" w:beforeAutospacing="0" w:after="150" w:afterAutospacing="0"/>
              <w:rPr>
                <w:rFonts w:asciiTheme="minorHAnsi" w:hAnsiTheme="minorHAnsi" w:cs="Arial"/>
                <w:color w:val="333333"/>
                <w:sz w:val="22"/>
                <w:szCs w:val="22"/>
              </w:rPr>
            </w:pPr>
            <w:r w:rsidRPr="0099585C">
              <w:rPr>
                <w:rFonts w:asciiTheme="minorHAnsi" w:hAnsiTheme="minorHAnsi" w:cs="Arial"/>
                <w:color w:val="333333"/>
                <w:sz w:val="22"/>
                <w:szCs w:val="22"/>
              </w:rPr>
              <w:t>Used when the trade-offs are less certain-either because of low-quality evidence or because evidence suggests that desirable and undesirable effects are closely balanced</w:t>
            </w:r>
          </w:p>
        </w:tc>
      </w:tr>
    </w:tbl>
    <w:p w:rsidR="00850C35" w:rsidRDefault="00850C35" w:rsidP="00265702">
      <w:pPr>
        <w:ind w:left="0" w:firstLine="0"/>
        <w:rPr>
          <w:b/>
        </w:rPr>
      </w:pPr>
    </w:p>
    <w:p w:rsidR="0099585C" w:rsidRPr="003B1CC5" w:rsidRDefault="0099585C" w:rsidP="00265702">
      <w:pPr>
        <w:ind w:left="0" w:firstLine="0"/>
        <w:rPr>
          <w:b/>
        </w:rPr>
      </w:pPr>
    </w:p>
    <w:p w:rsidR="00A12762" w:rsidRDefault="00776F6D" w:rsidP="002E2177">
      <w:pPr>
        <w:ind w:left="432" w:hanging="432"/>
        <w:rPr>
          <w:b/>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99585C" w:rsidRDefault="0099585C" w:rsidP="002E2177">
      <w:pPr>
        <w:ind w:left="432" w:hanging="432"/>
        <w:rPr>
          <w:b/>
          <w:color w:val="0000FF"/>
        </w:rPr>
      </w:pPr>
    </w:p>
    <w:p w:rsidR="00B51971" w:rsidRPr="00B51971" w:rsidRDefault="00B51971" w:rsidP="00B51971">
      <w:pPr>
        <w:pStyle w:val="ListParagraph"/>
        <w:numPr>
          <w:ilvl w:val="0"/>
          <w:numId w:val="13"/>
        </w:numPr>
      </w:pPr>
      <w:proofErr w:type="spellStart"/>
      <w:r w:rsidRPr="00B51971">
        <w:lastRenderedPageBreak/>
        <w:t>Guyatt</w:t>
      </w:r>
      <w:proofErr w:type="spellEnd"/>
      <w:r w:rsidRPr="00B51971">
        <w:t xml:space="preserve"> GH, </w:t>
      </w:r>
      <w:proofErr w:type="spellStart"/>
      <w:r w:rsidRPr="00B51971">
        <w:t>Oxman</w:t>
      </w:r>
      <w:proofErr w:type="spellEnd"/>
      <w:r w:rsidRPr="00B51971">
        <w:t xml:space="preserve"> AD, </w:t>
      </w:r>
      <w:proofErr w:type="spellStart"/>
      <w:r w:rsidRPr="00B51971">
        <w:t>Vist</w:t>
      </w:r>
      <w:proofErr w:type="spellEnd"/>
      <w:r w:rsidRPr="00B51971">
        <w:t xml:space="preserve"> GE, et al. GRADE: an emerging consensus on rating quality of evidence and strength of recommendations. BMJ 2008</w:t>
      </w:r>
      <w:proofErr w:type="gramStart"/>
      <w:r w:rsidRPr="00B51971">
        <w:t>;336:924</w:t>
      </w:r>
      <w:proofErr w:type="gramEnd"/>
      <w:r w:rsidRPr="00B51971">
        <w:t>-6.</w:t>
      </w:r>
    </w:p>
    <w:p w:rsidR="00736AEC" w:rsidRPr="00B51971" w:rsidRDefault="00736AEC" w:rsidP="00B51971">
      <w:pPr>
        <w:ind w:left="432" w:hanging="432"/>
        <w:rPr>
          <w:b/>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3102CD" w:rsidP="00FC32D3">
      <w:pPr>
        <w:ind w:left="720" w:hanging="432"/>
        <w:rPr>
          <w:b/>
        </w:rPr>
      </w:pPr>
      <w:sdt>
        <w:sdtPr>
          <w:rPr>
            <w:bCs/>
            <w:color w:val="0000FF"/>
          </w:rPr>
          <w:id w:val="-1346319738"/>
          <w14:checkbox>
            <w14:checked w14:val="1"/>
            <w14:checkedState w14:val="2612" w14:font="MS Gothic"/>
            <w14:uncheckedState w14:val="2610" w14:font="MS Gothic"/>
          </w14:checkbox>
        </w:sdtPr>
        <w:sdtEndPr/>
        <w:sdtContent>
          <w:r w:rsidR="00B51971">
            <w:rPr>
              <w:rFonts w:ascii="MS Gothic" w:eastAsia="MS Gothic" w:hAnsi="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3102CD"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rsidR="00354D6D" w:rsidRDefault="00354D6D" w:rsidP="00EE5AF6">
      <w:pPr>
        <w:ind w:left="0" w:firstLine="0"/>
      </w:pPr>
    </w:p>
    <w:p w:rsidR="00354D6D" w:rsidRDefault="00354D6D" w:rsidP="00EE5AF6">
      <w:pPr>
        <w:ind w:left="0" w:firstLine="0"/>
      </w:pPr>
      <w:proofErr w:type="gramStart"/>
      <w:r>
        <w:t>The effect of antioxidant vitamins and mineral supplements on the progression of AMD.</w:t>
      </w:r>
      <w:proofErr w:type="gramEnd"/>
    </w:p>
    <w:p w:rsidR="00194E8E" w:rsidRDefault="00194E8E" w:rsidP="00EE5AF6">
      <w:pPr>
        <w:ind w:left="0" w:firstLine="0"/>
      </w:pPr>
    </w:p>
    <w:p w:rsidR="00EE5AF6" w:rsidRPr="003B1CC5" w:rsidRDefault="00EE5AF6" w:rsidP="00EE5AF6">
      <w:pPr>
        <w:ind w:left="0" w:firstLine="0"/>
      </w:pPr>
    </w:p>
    <w:p w:rsidR="00095EC9" w:rsidRDefault="00EE5AF6" w:rsidP="00EA79C9">
      <w:pPr>
        <w:ind w:left="0" w:firstLine="0"/>
      </w:pPr>
      <w:r w:rsidRPr="003B1CC5">
        <w:rPr>
          <w:b/>
          <w:color w:val="0000FF"/>
        </w:rPr>
        <w:lastRenderedPageBreak/>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194E8E" w:rsidRDefault="00194E8E" w:rsidP="00EA79C9">
      <w:pPr>
        <w:ind w:left="0" w:firstLine="0"/>
      </w:pPr>
    </w:p>
    <w:p w:rsidR="00194E8E" w:rsidRDefault="00377F8B" w:rsidP="00EA79C9">
      <w:pPr>
        <w:ind w:left="0" w:firstLine="0"/>
      </w:pPr>
      <w:r>
        <w:rPr>
          <w:b/>
        </w:rPr>
        <w:t xml:space="preserve">Grade: </w:t>
      </w:r>
      <w:r>
        <w:t>Good</w:t>
      </w:r>
    </w:p>
    <w:p w:rsidR="00377F8B" w:rsidRPr="00377F8B" w:rsidRDefault="00377F8B" w:rsidP="00EA79C9">
      <w:pPr>
        <w:ind w:left="0" w:firstLine="0"/>
      </w:pPr>
      <w:r>
        <w:rPr>
          <w:b/>
        </w:rPr>
        <w:t xml:space="preserve">Definition: </w:t>
      </w:r>
      <w:r>
        <w:t>Further research is very unlikely to change our confidence in the estimate of effect</w:t>
      </w:r>
    </w:p>
    <w:p w:rsidR="00095EC9" w:rsidRPr="003B1CC5" w:rsidRDefault="00095EC9" w:rsidP="00EA79C9">
      <w:pPr>
        <w:ind w:left="0" w:firstLine="0"/>
      </w:pPr>
    </w:p>
    <w:p w:rsidR="00EA79C9" w:rsidRDefault="00095EC9" w:rsidP="00EA79C9">
      <w:pPr>
        <w:ind w:left="0" w:firstLine="0"/>
        <w:rPr>
          <w:b/>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377F8B" w:rsidRDefault="00377F8B" w:rsidP="00EA79C9">
      <w:pPr>
        <w:ind w:left="0" w:firstLine="0"/>
        <w:rPr>
          <w:b/>
        </w:rPr>
      </w:pP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56"/>
        <w:gridCol w:w="8349"/>
      </w:tblGrid>
      <w:tr w:rsidR="00377F8B" w:rsidRPr="0099585C" w:rsidTr="00377F8B">
        <w:tc>
          <w:tcPr>
            <w:tcW w:w="0" w:type="auto"/>
            <w:shd w:val="clear" w:color="auto" w:fill="FFFFFF"/>
            <w:tcMar>
              <w:top w:w="120" w:type="dxa"/>
              <w:left w:w="120" w:type="dxa"/>
              <w:bottom w:w="120" w:type="dxa"/>
              <w:right w:w="120" w:type="dxa"/>
            </w:tcMar>
            <w:vAlign w:val="bottom"/>
          </w:tcPr>
          <w:p w:rsidR="00377F8B" w:rsidRPr="00377F8B" w:rsidRDefault="00377F8B" w:rsidP="00377F8B">
            <w:pPr>
              <w:pStyle w:val="NormalWeb"/>
              <w:spacing w:before="0" w:beforeAutospacing="0" w:after="150" w:afterAutospacing="0"/>
              <w:jc w:val="center"/>
              <w:rPr>
                <w:rFonts w:asciiTheme="minorHAnsi" w:hAnsiTheme="minorHAnsi" w:cs="Arial"/>
                <w:b/>
                <w:color w:val="333333"/>
                <w:sz w:val="22"/>
                <w:szCs w:val="22"/>
              </w:rPr>
            </w:pPr>
            <w:r w:rsidRPr="00377F8B">
              <w:rPr>
                <w:rFonts w:asciiTheme="minorHAnsi" w:hAnsiTheme="minorHAnsi" w:cs="Arial"/>
                <w:b/>
                <w:color w:val="333333"/>
                <w:sz w:val="22"/>
                <w:szCs w:val="22"/>
              </w:rPr>
              <w:t>Grade</w:t>
            </w:r>
          </w:p>
        </w:tc>
        <w:tc>
          <w:tcPr>
            <w:tcW w:w="0" w:type="auto"/>
            <w:shd w:val="clear" w:color="auto" w:fill="FFFFFF"/>
            <w:tcMar>
              <w:top w:w="120" w:type="dxa"/>
              <w:left w:w="120" w:type="dxa"/>
              <w:bottom w:w="120" w:type="dxa"/>
              <w:right w:w="120" w:type="dxa"/>
            </w:tcMar>
            <w:vAlign w:val="bottom"/>
          </w:tcPr>
          <w:p w:rsidR="00377F8B" w:rsidRPr="00377F8B" w:rsidRDefault="00377F8B" w:rsidP="00377F8B">
            <w:pPr>
              <w:pStyle w:val="NormalWeb"/>
              <w:spacing w:before="0" w:beforeAutospacing="0" w:after="150" w:afterAutospacing="0"/>
              <w:jc w:val="center"/>
              <w:rPr>
                <w:rFonts w:asciiTheme="minorHAnsi" w:hAnsiTheme="minorHAnsi" w:cs="Arial"/>
                <w:b/>
                <w:color w:val="333333"/>
                <w:sz w:val="22"/>
                <w:szCs w:val="22"/>
              </w:rPr>
            </w:pPr>
            <w:r w:rsidRPr="00377F8B">
              <w:rPr>
                <w:rFonts w:asciiTheme="minorHAnsi" w:hAnsiTheme="minorHAnsi" w:cs="Arial"/>
                <w:b/>
                <w:color w:val="333333"/>
                <w:sz w:val="22"/>
                <w:szCs w:val="22"/>
              </w:rPr>
              <w:t>Definition</w:t>
            </w:r>
          </w:p>
        </w:tc>
      </w:tr>
      <w:tr w:rsidR="00377F8B" w:rsidRPr="0099585C" w:rsidTr="00CF5491">
        <w:tc>
          <w:tcPr>
            <w:tcW w:w="0" w:type="auto"/>
            <w:shd w:val="clear" w:color="auto" w:fill="FFFFFF"/>
            <w:tcMar>
              <w:top w:w="120" w:type="dxa"/>
              <w:left w:w="120" w:type="dxa"/>
              <w:bottom w:w="120" w:type="dxa"/>
              <w:right w:w="120" w:type="dxa"/>
            </w:tcMar>
            <w:hideMark/>
          </w:tcPr>
          <w:p w:rsidR="00377F8B" w:rsidRPr="0099585C" w:rsidRDefault="00377F8B" w:rsidP="00CF5491">
            <w:pPr>
              <w:pStyle w:val="NormalWeb"/>
              <w:spacing w:before="0" w:beforeAutospacing="0" w:after="150" w:afterAutospacing="0"/>
              <w:rPr>
                <w:rFonts w:asciiTheme="minorHAnsi" w:hAnsiTheme="minorHAnsi" w:cs="Arial"/>
                <w:color w:val="333333"/>
                <w:sz w:val="22"/>
                <w:szCs w:val="22"/>
              </w:rPr>
            </w:pPr>
            <w:r w:rsidRPr="0099585C">
              <w:rPr>
                <w:rFonts w:asciiTheme="minorHAnsi" w:hAnsiTheme="minorHAnsi" w:cs="Arial"/>
                <w:color w:val="333333"/>
                <w:sz w:val="22"/>
                <w:szCs w:val="22"/>
              </w:rPr>
              <w:t>Good quality</w:t>
            </w:r>
          </w:p>
        </w:tc>
        <w:tc>
          <w:tcPr>
            <w:tcW w:w="0" w:type="auto"/>
            <w:shd w:val="clear" w:color="auto" w:fill="FFFFFF"/>
            <w:tcMar>
              <w:top w:w="120" w:type="dxa"/>
              <w:left w:w="120" w:type="dxa"/>
              <w:bottom w:w="120" w:type="dxa"/>
              <w:right w:w="120" w:type="dxa"/>
            </w:tcMar>
            <w:hideMark/>
          </w:tcPr>
          <w:p w:rsidR="00377F8B" w:rsidRPr="0099585C" w:rsidRDefault="00377F8B" w:rsidP="00CF5491">
            <w:pPr>
              <w:pStyle w:val="NormalWeb"/>
              <w:spacing w:before="0" w:beforeAutospacing="0" w:after="150" w:afterAutospacing="0"/>
              <w:rPr>
                <w:rFonts w:asciiTheme="minorHAnsi" w:hAnsiTheme="minorHAnsi" w:cs="Arial"/>
                <w:color w:val="333333"/>
                <w:sz w:val="22"/>
                <w:szCs w:val="22"/>
              </w:rPr>
            </w:pPr>
            <w:r w:rsidRPr="0099585C">
              <w:rPr>
                <w:rFonts w:asciiTheme="minorHAnsi" w:hAnsiTheme="minorHAnsi" w:cs="Arial"/>
                <w:color w:val="333333"/>
                <w:sz w:val="22"/>
                <w:szCs w:val="22"/>
              </w:rPr>
              <w:t>Further research is very unlikely to change our confidence in the estimate of effect</w:t>
            </w:r>
          </w:p>
        </w:tc>
      </w:tr>
      <w:tr w:rsidR="00377F8B" w:rsidRPr="0099585C" w:rsidTr="00CF5491">
        <w:tc>
          <w:tcPr>
            <w:tcW w:w="0" w:type="auto"/>
            <w:shd w:val="clear" w:color="auto" w:fill="FFFFFF"/>
            <w:tcMar>
              <w:top w:w="120" w:type="dxa"/>
              <w:left w:w="120" w:type="dxa"/>
              <w:bottom w:w="120" w:type="dxa"/>
              <w:right w:w="120" w:type="dxa"/>
            </w:tcMar>
            <w:hideMark/>
          </w:tcPr>
          <w:p w:rsidR="00377F8B" w:rsidRPr="0099585C" w:rsidRDefault="00377F8B" w:rsidP="00CF5491">
            <w:pPr>
              <w:pStyle w:val="NormalWeb"/>
              <w:spacing w:before="0" w:beforeAutospacing="0" w:after="150" w:afterAutospacing="0"/>
              <w:rPr>
                <w:rFonts w:asciiTheme="minorHAnsi" w:hAnsiTheme="minorHAnsi" w:cs="Arial"/>
                <w:color w:val="333333"/>
                <w:sz w:val="22"/>
                <w:szCs w:val="22"/>
              </w:rPr>
            </w:pPr>
            <w:r w:rsidRPr="0099585C">
              <w:rPr>
                <w:rFonts w:asciiTheme="minorHAnsi" w:hAnsiTheme="minorHAnsi" w:cs="Arial"/>
                <w:color w:val="333333"/>
                <w:sz w:val="22"/>
                <w:szCs w:val="22"/>
              </w:rPr>
              <w:t>Moderate quality</w:t>
            </w:r>
          </w:p>
        </w:tc>
        <w:tc>
          <w:tcPr>
            <w:tcW w:w="0" w:type="auto"/>
            <w:shd w:val="clear" w:color="auto" w:fill="FFFFFF"/>
            <w:tcMar>
              <w:top w:w="120" w:type="dxa"/>
              <w:left w:w="120" w:type="dxa"/>
              <w:bottom w:w="120" w:type="dxa"/>
              <w:right w:w="120" w:type="dxa"/>
            </w:tcMar>
            <w:hideMark/>
          </w:tcPr>
          <w:p w:rsidR="00377F8B" w:rsidRPr="0099585C" w:rsidRDefault="00377F8B" w:rsidP="00CF5491">
            <w:pPr>
              <w:pStyle w:val="NormalWeb"/>
              <w:spacing w:before="0" w:beforeAutospacing="0" w:after="150" w:afterAutospacing="0"/>
              <w:rPr>
                <w:rFonts w:asciiTheme="minorHAnsi" w:hAnsiTheme="minorHAnsi" w:cs="Arial"/>
                <w:color w:val="333333"/>
                <w:sz w:val="22"/>
                <w:szCs w:val="22"/>
              </w:rPr>
            </w:pPr>
            <w:r w:rsidRPr="0099585C">
              <w:rPr>
                <w:rFonts w:asciiTheme="minorHAnsi" w:hAnsiTheme="minorHAnsi" w:cs="Arial"/>
                <w:color w:val="333333"/>
                <w:sz w:val="22"/>
                <w:szCs w:val="22"/>
              </w:rPr>
              <w:t>Further research is likely to have an important impact on our confidence in the estimate of effect and may change the estimate</w:t>
            </w:r>
          </w:p>
        </w:tc>
      </w:tr>
      <w:tr w:rsidR="00377F8B" w:rsidRPr="0099585C" w:rsidTr="00CF5491">
        <w:tc>
          <w:tcPr>
            <w:tcW w:w="0" w:type="auto"/>
            <w:shd w:val="clear" w:color="auto" w:fill="FFFFFF"/>
            <w:tcMar>
              <w:top w:w="120" w:type="dxa"/>
              <w:left w:w="120" w:type="dxa"/>
              <w:bottom w:w="120" w:type="dxa"/>
              <w:right w:w="120" w:type="dxa"/>
            </w:tcMar>
            <w:hideMark/>
          </w:tcPr>
          <w:p w:rsidR="00377F8B" w:rsidRPr="0099585C" w:rsidRDefault="00377F8B" w:rsidP="00CF5491">
            <w:pPr>
              <w:pStyle w:val="NormalWeb"/>
              <w:spacing w:before="0" w:beforeAutospacing="0" w:after="150" w:afterAutospacing="0"/>
              <w:rPr>
                <w:rFonts w:asciiTheme="minorHAnsi" w:hAnsiTheme="minorHAnsi" w:cs="Arial"/>
                <w:color w:val="333333"/>
                <w:sz w:val="22"/>
                <w:szCs w:val="22"/>
              </w:rPr>
            </w:pPr>
            <w:r w:rsidRPr="0099585C">
              <w:rPr>
                <w:rFonts w:asciiTheme="minorHAnsi" w:hAnsiTheme="minorHAnsi" w:cs="Arial"/>
                <w:color w:val="333333"/>
                <w:sz w:val="22"/>
                <w:szCs w:val="22"/>
              </w:rPr>
              <w:t>Insufficient quality</w:t>
            </w:r>
          </w:p>
        </w:tc>
        <w:tc>
          <w:tcPr>
            <w:tcW w:w="0" w:type="auto"/>
            <w:shd w:val="clear" w:color="auto" w:fill="FFFFFF"/>
            <w:tcMar>
              <w:top w:w="120" w:type="dxa"/>
              <w:left w:w="120" w:type="dxa"/>
              <w:bottom w:w="120" w:type="dxa"/>
              <w:right w:w="120" w:type="dxa"/>
            </w:tcMar>
            <w:hideMark/>
          </w:tcPr>
          <w:p w:rsidR="00377F8B" w:rsidRPr="0099585C" w:rsidRDefault="00377F8B" w:rsidP="00CF5491">
            <w:pPr>
              <w:pStyle w:val="NormalWeb"/>
              <w:spacing w:before="0" w:beforeAutospacing="0" w:after="150" w:afterAutospacing="0"/>
              <w:rPr>
                <w:rFonts w:asciiTheme="minorHAnsi" w:hAnsiTheme="minorHAnsi" w:cs="Arial"/>
                <w:color w:val="333333"/>
                <w:sz w:val="22"/>
                <w:szCs w:val="22"/>
              </w:rPr>
            </w:pPr>
            <w:r w:rsidRPr="0099585C">
              <w:rPr>
                <w:rFonts w:asciiTheme="minorHAnsi" w:hAnsiTheme="minorHAnsi" w:cs="Arial"/>
                <w:color w:val="333333"/>
                <w:sz w:val="22"/>
                <w:szCs w:val="22"/>
              </w:rPr>
              <w:t>Further research is very likely to have an important impact on our confidence in the estimate of effect and is likely to change the estimate</w:t>
            </w:r>
          </w:p>
          <w:p w:rsidR="00377F8B" w:rsidRPr="0099585C" w:rsidRDefault="00377F8B" w:rsidP="00CF5491">
            <w:pPr>
              <w:pStyle w:val="NormalWeb"/>
              <w:spacing w:before="0" w:beforeAutospacing="0" w:after="150" w:afterAutospacing="0"/>
              <w:rPr>
                <w:rFonts w:asciiTheme="minorHAnsi" w:hAnsiTheme="minorHAnsi" w:cs="Arial"/>
                <w:color w:val="333333"/>
                <w:sz w:val="22"/>
                <w:szCs w:val="22"/>
              </w:rPr>
            </w:pPr>
            <w:r w:rsidRPr="0099585C">
              <w:rPr>
                <w:rFonts w:asciiTheme="minorHAnsi" w:hAnsiTheme="minorHAnsi" w:cs="Arial"/>
                <w:color w:val="333333"/>
                <w:sz w:val="22"/>
                <w:szCs w:val="22"/>
              </w:rPr>
              <w:t>Any estimate of effect is very uncertain</w:t>
            </w:r>
          </w:p>
        </w:tc>
      </w:tr>
    </w:tbl>
    <w:p w:rsidR="00377F8B" w:rsidRPr="003B1CC5" w:rsidRDefault="00377F8B" w:rsidP="00EA79C9">
      <w:pPr>
        <w:ind w:left="0" w:firstLine="0"/>
        <w:rPr>
          <w:color w:val="0000FF"/>
        </w:rPr>
      </w:pPr>
    </w:p>
    <w:p w:rsidR="00A12762" w:rsidRPr="003B1CC5" w:rsidRDefault="00A12762" w:rsidP="002E2177">
      <w:pPr>
        <w:ind w:left="0" w:firstLine="0"/>
        <w:rPr>
          <w:noProof/>
        </w:rPr>
      </w:pP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BD20C6">
            <w:rPr>
              <w:rStyle w:val="Style2"/>
            </w:rPr>
            <w:t xml:space="preserve">Literature published through </w:t>
          </w:r>
          <w:r w:rsidR="00377F8B">
            <w:rPr>
              <w:rStyle w:val="Style2"/>
            </w:rPr>
            <w:t>June 2013</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377F8B" w:rsidRDefault="00377F8B" w:rsidP="002E2177">
      <w:pPr>
        <w:ind w:left="432" w:hanging="432"/>
      </w:pPr>
    </w:p>
    <w:p w:rsidR="00496AF8" w:rsidRDefault="00354D6D" w:rsidP="002E2177">
      <w:pPr>
        <w:ind w:left="0" w:firstLine="0"/>
      </w:pPr>
      <w:r>
        <w:t>Two</w:t>
      </w:r>
      <w:r w:rsidRPr="00354D6D">
        <w:t xml:space="preserve"> randomized controlled trials (RCTs</w:t>
      </w:r>
      <w:r>
        <w:t>)</w:t>
      </w:r>
    </w:p>
    <w:p w:rsidR="00354D6D" w:rsidRPr="003B1CC5" w:rsidRDefault="00354D6D"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0308D2" w:rsidRDefault="000308D2" w:rsidP="000308D2">
      <w:pPr>
        <w:ind w:hanging="432"/>
        <w:rPr>
          <w:color w:val="000000"/>
        </w:rPr>
      </w:pPr>
      <w:proofErr w:type="gramStart"/>
      <w:r>
        <w:rPr>
          <w:color w:val="000000"/>
        </w:rPr>
        <w:t>Very high quality RCTs (well-conducted, large samples, etc.)</w:t>
      </w:r>
      <w:proofErr w:type="gramEnd"/>
    </w:p>
    <w:p w:rsidR="00E11A70" w:rsidRPr="003B1CC5" w:rsidRDefault="00E11A70"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Default="00496AF8" w:rsidP="002E2177">
      <w:pPr>
        <w:ind w:left="0" w:firstLine="0"/>
      </w:pPr>
    </w:p>
    <w:p w:rsidR="00107052" w:rsidRDefault="00107052" w:rsidP="002E2177">
      <w:pPr>
        <w:ind w:left="0" w:firstLine="0"/>
      </w:pPr>
      <w:r w:rsidRPr="00107052">
        <w:t xml:space="preserve">Early detection and treatment of AMD to arrest the deterioration in vision may help preserve patients’ quality of life and independence. </w:t>
      </w:r>
      <w:r w:rsidR="00354D6D">
        <w:t xml:space="preserve">Antioxidant vitamins and mineral supplements help to reduce the rate </w:t>
      </w:r>
      <w:r w:rsidR="00354D6D">
        <w:lastRenderedPageBreak/>
        <w:t>of progression to advanced AMD for those patients with intermed</w:t>
      </w:r>
      <w:r w:rsidR="00126941">
        <w:t>iate or advanced AMD in one eye, AREDS study results summarized in Table 1.</w:t>
      </w:r>
    </w:p>
    <w:p w:rsidR="00126941" w:rsidRDefault="00126941" w:rsidP="002E2177">
      <w:pPr>
        <w:ind w:left="0" w:firstLine="0"/>
      </w:pPr>
    </w:p>
    <w:p w:rsidR="00126941" w:rsidRDefault="00126941" w:rsidP="002E2177">
      <w:pPr>
        <w:ind w:left="0" w:firstLine="0"/>
      </w:pPr>
      <w:proofErr w:type="gramStart"/>
      <w:r>
        <w:t>Table 1.</w:t>
      </w:r>
      <w:proofErr w:type="gramEnd"/>
      <w:r>
        <w:t xml:space="preserve"> </w:t>
      </w:r>
      <w:proofErr w:type="gramStart"/>
      <w:r>
        <w:t>Summary of results of original AREDS for developing advanced AMD and vision loss.</w:t>
      </w:r>
      <w:proofErr w:type="gramEnd"/>
      <w:r w:rsidRPr="00126941">
        <w:t xml:space="preserve"> </w:t>
      </w:r>
    </w:p>
    <w:p w:rsidR="00126941" w:rsidRDefault="00126941" w:rsidP="002E2177">
      <w:pPr>
        <w:ind w:left="0" w:firstLine="0"/>
      </w:pPr>
    </w:p>
    <w:tbl>
      <w:tblPr>
        <w:tblStyle w:val="TableGrid"/>
        <w:tblW w:w="0" w:type="auto"/>
        <w:jc w:val="center"/>
        <w:tblLook w:val="04A0" w:firstRow="1" w:lastRow="0" w:firstColumn="1" w:lastColumn="0" w:noHBand="0" w:noVBand="1"/>
      </w:tblPr>
      <w:tblGrid>
        <w:gridCol w:w="3744"/>
        <w:gridCol w:w="1440"/>
        <w:gridCol w:w="1440"/>
        <w:gridCol w:w="1440"/>
      </w:tblGrid>
      <w:tr w:rsidR="00126941" w:rsidTr="00126941">
        <w:trPr>
          <w:jc w:val="center"/>
        </w:trPr>
        <w:tc>
          <w:tcPr>
            <w:tcW w:w="3744" w:type="dxa"/>
          </w:tcPr>
          <w:p w:rsidR="00126941" w:rsidRDefault="00126941" w:rsidP="002E2177">
            <w:pPr>
              <w:ind w:left="0" w:firstLine="0"/>
            </w:pPr>
          </w:p>
        </w:tc>
        <w:tc>
          <w:tcPr>
            <w:tcW w:w="1440" w:type="dxa"/>
          </w:tcPr>
          <w:p w:rsidR="00126941" w:rsidRDefault="00126941" w:rsidP="002E2177">
            <w:pPr>
              <w:ind w:left="0" w:firstLine="0"/>
            </w:pPr>
            <w:r>
              <w:t>Antioxidants Plus Zinc</w:t>
            </w:r>
          </w:p>
        </w:tc>
        <w:tc>
          <w:tcPr>
            <w:tcW w:w="1440" w:type="dxa"/>
          </w:tcPr>
          <w:p w:rsidR="00126941" w:rsidRDefault="00126941" w:rsidP="002E2177">
            <w:pPr>
              <w:ind w:left="0" w:firstLine="0"/>
            </w:pPr>
            <w:r>
              <w:t>Zinc Alone</w:t>
            </w:r>
          </w:p>
        </w:tc>
        <w:tc>
          <w:tcPr>
            <w:tcW w:w="1440" w:type="dxa"/>
          </w:tcPr>
          <w:p w:rsidR="00126941" w:rsidRDefault="00126941" w:rsidP="002E2177">
            <w:pPr>
              <w:ind w:left="0" w:firstLine="0"/>
            </w:pPr>
            <w:r>
              <w:t>Antioxidants Alone</w:t>
            </w:r>
          </w:p>
        </w:tc>
      </w:tr>
      <w:tr w:rsidR="00126941" w:rsidTr="00126941">
        <w:trPr>
          <w:jc w:val="center"/>
        </w:trPr>
        <w:tc>
          <w:tcPr>
            <w:tcW w:w="3744" w:type="dxa"/>
          </w:tcPr>
          <w:p w:rsidR="00126941" w:rsidRDefault="00126941" w:rsidP="002E2177">
            <w:pPr>
              <w:ind w:left="0" w:firstLine="0"/>
            </w:pPr>
            <w:r>
              <w:t>Reduction of the relative risk of developing advanced AMD</w:t>
            </w:r>
          </w:p>
        </w:tc>
        <w:tc>
          <w:tcPr>
            <w:tcW w:w="1440" w:type="dxa"/>
          </w:tcPr>
          <w:p w:rsidR="00126941" w:rsidRDefault="00126941" w:rsidP="002E2177">
            <w:pPr>
              <w:ind w:left="0" w:firstLine="0"/>
            </w:pPr>
            <w:r>
              <w:t>25%</w:t>
            </w:r>
          </w:p>
        </w:tc>
        <w:tc>
          <w:tcPr>
            <w:tcW w:w="1440" w:type="dxa"/>
          </w:tcPr>
          <w:p w:rsidR="00126941" w:rsidRDefault="00126941" w:rsidP="002E2177">
            <w:pPr>
              <w:ind w:left="0" w:firstLine="0"/>
            </w:pPr>
            <w:r>
              <w:t>21%</w:t>
            </w:r>
          </w:p>
        </w:tc>
        <w:tc>
          <w:tcPr>
            <w:tcW w:w="1440" w:type="dxa"/>
          </w:tcPr>
          <w:p w:rsidR="00126941" w:rsidRDefault="00126941" w:rsidP="002E2177">
            <w:pPr>
              <w:ind w:left="0" w:firstLine="0"/>
            </w:pPr>
            <w:r>
              <w:t>17%</w:t>
            </w:r>
          </w:p>
        </w:tc>
      </w:tr>
      <w:tr w:rsidR="00126941" w:rsidTr="00126941">
        <w:trPr>
          <w:jc w:val="center"/>
        </w:trPr>
        <w:tc>
          <w:tcPr>
            <w:tcW w:w="3744" w:type="dxa"/>
          </w:tcPr>
          <w:p w:rsidR="00126941" w:rsidRDefault="00126941" w:rsidP="002E2177">
            <w:pPr>
              <w:ind w:left="0" w:firstLine="0"/>
            </w:pPr>
            <w:r>
              <w:t>Reduction of the relative risk of vision loss (three or more lines)</w:t>
            </w:r>
          </w:p>
        </w:tc>
        <w:tc>
          <w:tcPr>
            <w:tcW w:w="1440" w:type="dxa"/>
          </w:tcPr>
          <w:p w:rsidR="00126941" w:rsidRDefault="00126941" w:rsidP="002E2177">
            <w:pPr>
              <w:ind w:left="0" w:firstLine="0"/>
            </w:pPr>
            <w:r>
              <w:t>19%</w:t>
            </w:r>
          </w:p>
        </w:tc>
        <w:tc>
          <w:tcPr>
            <w:tcW w:w="1440" w:type="dxa"/>
          </w:tcPr>
          <w:p w:rsidR="00126941" w:rsidRDefault="00126941" w:rsidP="002E2177">
            <w:pPr>
              <w:ind w:left="0" w:firstLine="0"/>
            </w:pPr>
            <w:r>
              <w:t>11%</w:t>
            </w:r>
          </w:p>
        </w:tc>
        <w:tc>
          <w:tcPr>
            <w:tcW w:w="1440" w:type="dxa"/>
          </w:tcPr>
          <w:p w:rsidR="00126941" w:rsidRDefault="00126941" w:rsidP="002E2177">
            <w:pPr>
              <w:ind w:left="0" w:firstLine="0"/>
            </w:pPr>
            <w:r>
              <w:t>10%</w:t>
            </w:r>
          </w:p>
        </w:tc>
      </w:tr>
    </w:tbl>
    <w:p w:rsidR="00126941" w:rsidRDefault="00126941" w:rsidP="00126941">
      <w:pPr>
        <w:ind w:left="0" w:firstLine="0"/>
        <w:rPr>
          <w:sz w:val="18"/>
          <w:szCs w:val="18"/>
        </w:rPr>
      </w:pPr>
    </w:p>
    <w:p w:rsidR="00126941" w:rsidRPr="003B1CC5" w:rsidRDefault="00126941" w:rsidP="00126941">
      <w:pPr>
        <w:ind w:left="0" w:firstLine="0"/>
      </w:pPr>
      <w:r>
        <w:rPr>
          <w:sz w:val="18"/>
          <w:szCs w:val="18"/>
        </w:rPr>
        <w:t xml:space="preserve">Data from </w:t>
      </w:r>
      <w:proofErr w:type="gramStart"/>
      <w:r>
        <w:rPr>
          <w:sz w:val="18"/>
          <w:szCs w:val="18"/>
        </w:rPr>
        <w:t>The</w:t>
      </w:r>
      <w:proofErr w:type="gramEnd"/>
      <w:r>
        <w:rPr>
          <w:sz w:val="18"/>
          <w:szCs w:val="18"/>
        </w:rPr>
        <w:t xml:space="preserve"> Age-Related Eye Disease Study Research Group. A randomized, placebo-controlled, clinical trial of high-dose supplementation with vitamins C and E, beta carotene, and zinc for age-related macular degeneration and vision loss: AREDS report number 8. Arch </w:t>
      </w:r>
      <w:proofErr w:type="spellStart"/>
      <w:r>
        <w:rPr>
          <w:sz w:val="18"/>
          <w:szCs w:val="18"/>
        </w:rPr>
        <w:t>Ophthalmol</w:t>
      </w:r>
      <w:proofErr w:type="spellEnd"/>
      <w:r>
        <w:rPr>
          <w:sz w:val="18"/>
          <w:szCs w:val="18"/>
        </w:rPr>
        <w:t xml:space="preserve"> 2001</w:t>
      </w:r>
      <w:proofErr w:type="gramStart"/>
      <w:r>
        <w:rPr>
          <w:sz w:val="18"/>
          <w:szCs w:val="18"/>
        </w:rPr>
        <w:t>;119:1417</w:t>
      </w:r>
      <w:proofErr w:type="gramEnd"/>
      <w:r>
        <w:rPr>
          <w:sz w:val="18"/>
          <w:szCs w:val="18"/>
        </w:rPr>
        <w:t>-36.</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Default="00496AF8" w:rsidP="002E2177">
      <w:pPr>
        <w:ind w:left="0" w:firstLine="0"/>
      </w:pPr>
    </w:p>
    <w:p w:rsidR="00107052" w:rsidRPr="003B1CC5" w:rsidRDefault="00354D6D" w:rsidP="002E2177">
      <w:pPr>
        <w:ind w:left="0" w:firstLine="0"/>
      </w:pPr>
      <w:proofErr w:type="gramStart"/>
      <w:r>
        <w:t>Elevated mortality risk among patients taking elements similar to parts of the AREDS formulation (and elevated risk among smokers).</w:t>
      </w:r>
      <w:proofErr w:type="gramEnd"/>
      <w:r>
        <w:t xml:space="preserve"> </w:t>
      </w:r>
      <w:r w:rsidR="00A03210">
        <w:t>Due to these risks, patients need to be made aware of their individualized risk profile so that they can make their own decision as to whether or not to take the AREDS formulation.</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0308D2" w:rsidRDefault="000308D2" w:rsidP="002E2177">
      <w:pPr>
        <w:ind w:left="432" w:hanging="432"/>
      </w:pPr>
    </w:p>
    <w:p w:rsidR="000308D2" w:rsidRPr="003B1CC5" w:rsidRDefault="000308D2" w:rsidP="002E2177">
      <w:pPr>
        <w:ind w:left="432" w:hanging="432"/>
      </w:pPr>
      <w:r>
        <w:rPr>
          <w:color w:val="000000"/>
        </w:rPr>
        <w:t>No new studies.</w:t>
      </w:r>
      <w:bookmarkStart w:id="10" w:name="_GoBack"/>
      <w:bookmarkEnd w:id="10"/>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2CD" w:rsidRDefault="003102CD" w:rsidP="007E37A5">
      <w:r>
        <w:separator/>
      </w:r>
    </w:p>
  </w:endnote>
  <w:endnote w:type="continuationSeparator" w:id="0">
    <w:p w:rsidR="003102CD" w:rsidRDefault="003102C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308D2">
      <w:rPr>
        <w:noProof/>
      </w:rPr>
      <w:t>5</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2CD" w:rsidRDefault="003102CD" w:rsidP="007E37A5">
      <w:r>
        <w:separator/>
      </w:r>
    </w:p>
  </w:footnote>
  <w:footnote w:type="continuationSeparator" w:id="0">
    <w:p w:rsidR="003102CD" w:rsidRDefault="003102CD"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A46F6"/>
    <w:multiLevelType w:val="multilevel"/>
    <w:tmpl w:val="2B38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69F5BE3"/>
    <w:multiLevelType w:val="multilevel"/>
    <w:tmpl w:val="D5C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3274084"/>
    <w:multiLevelType w:val="hybridMultilevel"/>
    <w:tmpl w:val="BFF23F2A"/>
    <w:lvl w:ilvl="0" w:tplc="B14C562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C944DC"/>
    <w:multiLevelType w:val="multilevel"/>
    <w:tmpl w:val="C05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DB575C"/>
    <w:multiLevelType w:val="multilevel"/>
    <w:tmpl w:val="6BDAE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1"/>
  </w:num>
  <w:num w:numId="4">
    <w:abstractNumId w:val="3"/>
  </w:num>
  <w:num w:numId="5">
    <w:abstractNumId w:val="5"/>
  </w:num>
  <w:num w:numId="6">
    <w:abstractNumId w:val="4"/>
  </w:num>
  <w:num w:numId="7">
    <w:abstractNumId w:val="11"/>
  </w:num>
  <w:num w:numId="8">
    <w:abstractNumId w:val="10"/>
  </w:num>
  <w:num w:numId="9">
    <w:abstractNumId w:val="9"/>
  </w:num>
  <w:num w:numId="10">
    <w:abstractNumId w:val="2"/>
  </w:num>
  <w:num w:numId="11">
    <w:abstractNumId w:val="12"/>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8D2"/>
    <w:rsid w:val="00030F43"/>
    <w:rsid w:val="00040DCF"/>
    <w:rsid w:val="00052C0B"/>
    <w:rsid w:val="00061CF3"/>
    <w:rsid w:val="00063601"/>
    <w:rsid w:val="00073079"/>
    <w:rsid w:val="0007593F"/>
    <w:rsid w:val="00095EC9"/>
    <w:rsid w:val="00096A37"/>
    <w:rsid w:val="000A0810"/>
    <w:rsid w:val="000A2723"/>
    <w:rsid w:val="000B627F"/>
    <w:rsid w:val="000C5D17"/>
    <w:rsid w:val="000D649E"/>
    <w:rsid w:val="000D6D06"/>
    <w:rsid w:val="00107052"/>
    <w:rsid w:val="00114848"/>
    <w:rsid w:val="00120934"/>
    <w:rsid w:val="00126941"/>
    <w:rsid w:val="00132070"/>
    <w:rsid w:val="00141875"/>
    <w:rsid w:val="0014347E"/>
    <w:rsid w:val="00154438"/>
    <w:rsid w:val="001551F6"/>
    <w:rsid w:val="0015535B"/>
    <w:rsid w:val="00162036"/>
    <w:rsid w:val="001632DD"/>
    <w:rsid w:val="00176E60"/>
    <w:rsid w:val="00187BF8"/>
    <w:rsid w:val="00194D9A"/>
    <w:rsid w:val="00194E8E"/>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102CD"/>
    <w:rsid w:val="00324D64"/>
    <w:rsid w:val="00352B52"/>
    <w:rsid w:val="00354D6D"/>
    <w:rsid w:val="0035760D"/>
    <w:rsid w:val="00363ECC"/>
    <w:rsid w:val="00377F8B"/>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266E5"/>
    <w:rsid w:val="00634768"/>
    <w:rsid w:val="0063596F"/>
    <w:rsid w:val="00657E09"/>
    <w:rsid w:val="006709EB"/>
    <w:rsid w:val="00672824"/>
    <w:rsid w:val="0068184A"/>
    <w:rsid w:val="006A4EE2"/>
    <w:rsid w:val="006B1481"/>
    <w:rsid w:val="006B5C51"/>
    <w:rsid w:val="006C7F30"/>
    <w:rsid w:val="006D05EA"/>
    <w:rsid w:val="006D6CE6"/>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207F"/>
    <w:rsid w:val="007F49D8"/>
    <w:rsid w:val="00805940"/>
    <w:rsid w:val="00837121"/>
    <w:rsid w:val="008471E5"/>
    <w:rsid w:val="00850C35"/>
    <w:rsid w:val="00851466"/>
    <w:rsid w:val="00863E43"/>
    <w:rsid w:val="008647C3"/>
    <w:rsid w:val="008659ED"/>
    <w:rsid w:val="00870987"/>
    <w:rsid w:val="0087564A"/>
    <w:rsid w:val="00876DCF"/>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9585C"/>
    <w:rsid w:val="009A3236"/>
    <w:rsid w:val="009B5A93"/>
    <w:rsid w:val="009B5BEA"/>
    <w:rsid w:val="009C291F"/>
    <w:rsid w:val="009E37BD"/>
    <w:rsid w:val="009E6B86"/>
    <w:rsid w:val="00A00E3B"/>
    <w:rsid w:val="00A03210"/>
    <w:rsid w:val="00A03301"/>
    <w:rsid w:val="00A12762"/>
    <w:rsid w:val="00A13867"/>
    <w:rsid w:val="00A26FED"/>
    <w:rsid w:val="00A421D4"/>
    <w:rsid w:val="00A44FF0"/>
    <w:rsid w:val="00A50E55"/>
    <w:rsid w:val="00A67EB1"/>
    <w:rsid w:val="00A91A47"/>
    <w:rsid w:val="00A95D2B"/>
    <w:rsid w:val="00AA1D74"/>
    <w:rsid w:val="00AA5587"/>
    <w:rsid w:val="00AB13E6"/>
    <w:rsid w:val="00AC1E53"/>
    <w:rsid w:val="00AD79C8"/>
    <w:rsid w:val="00AE6CE0"/>
    <w:rsid w:val="00B058A6"/>
    <w:rsid w:val="00B117D0"/>
    <w:rsid w:val="00B13998"/>
    <w:rsid w:val="00B439DD"/>
    <w:rsid w:val="00B51971"/>
    <w:rsid w:val="00B52E0F"/>
    <w:rsid w:val="00B74629"/>
    <w:rsid w:val="00B91F58"/>
    <w:rsid w:val="00BA579E"/>
    <w:rsid w:val="00BD20C6"/>
    <w:rsid w:val="00BE2295"/>
    <w:rsid w:val="00BE6373"/>
    <w:rsid w:val="00BF533A"/>
    <w:rsid w:val="00C46677"/>
    <w:rsid w:val="00C5180E"/>
    <w:rsid w:val="00C54E40"/>
    <w:rsid w:val="00C55F56"/>
    <w:rsid w:val="00C57BA4"/>
    <w:rsid w:val="00C613EB"/>
    <w:rsid w:val="00C73D86"/>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279C"/>
    <w:rsid w:val="00DE50D8"/>
    <w:rsid w:val="00DF278A"/>
    <w:rsid w:val="00E11A70"/>
    <w:rsid w:val="00E1664B"/>
    <w:rsid w:val="00E30D12"/>
    <w:rsid w:val="00E3394E"/>
    <w:rsid w:val="00E35241"/>
    <w:rsid w:val="00E41417"/>
    <w:rsid w:val="00E536D3"/>
    <w:rsid w:val="00E57BE2"/>
    <w:rsid w:val="00E62A95"/>
    <w:rsid w:val="00E746A2"/>
    <w:rsid w:val="00E90D06"/>
    <w:rsid w:val="00E97E59"/>
    <w:rsid w:val="00EA79C9"/>
    <w:rsid w:val="00EB0D3B"/>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99585C"/>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9585C"/>
  </w:style>
  <w:style w:type="paragraph" w:customStyle="1" w:styleId="Default">
    <w:name w:val="Default"/>
    <w:rsid w:val="00126941"/>
    <w:pPr>
      <w:autoSpaceDE w:val="0"/>
      <w:autoSpaceDN w:val="0"/>
      <w:adjustRightInd w:val="0"/>
      <w:ind w:left="0" w:firstLine="0"/>
    </w:pPr>
    <w:rPr>
      <w:rFonts w:ascii="Arial Narrow" w:hAnsi="Arial Narrow" w:cs="Arial Narrow"/>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99585C"/>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9585C"/>
  </w:style>
  <w:style w:type="paragraph" w:customStyle="1" w:styleId="Default">
    <w:name w:val="Default"/>
    <w:rsid w:val="00126941"/>
    <w:pPr>
      <w:autoSpaceDE w:val="0"/>
      <w:autoSpaceDN w:val="0"/>
      <w:adjustRightInd w:val="0"/>
      <w:ind w:left="0" w:firstLine="0"/>
    </w:pPr>
    <w:rPr>
      <w:rFonts w:ascii="Arial Narrow"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35583">
      <w:bodyDiv w:val="1"/>
      <w:marLeft w:val="0"/>
      <w:marRight w:val="0"/>
      <w:marTop w:val="0"/>
      <w:marBottom w:val="0"/>
      <w:divBdr>
        <w:top w:val="none" w:sz="0" w:space="0" w:color="auto"/>
        <w:left w:val="none" w:sz="0" w:space="0" w:color="auto"/>
        <w:bottom w:val="none" w:sz="0" w:space="0" w:color="auto"/>
        <w:right w:val="none" w:sz="0" w:space="0" w:color="auto"/>
      </w:divBdr>
    </w:div>
    <w:div w:id="294143591">
      <w:bodyDiv w:val="1"/>
      <w:marLeft w:val="0"/>
      <w:marRight w:val="0"/>
      <w:marTop w:val="0"/>
      <w:marBottom w:val="0"/>
      <w:divBdr>
        <w:top w:val="none" w:sz="0" w:space="0" w:color="auto"/>
        <w:left w:val="none" w:sz="0" w:space="0" w:color="auto"/>
        <w:bottom w:val="none" w:sz="0" w:space="0" w:color="auto"/>
        <w:right w:val="none" w:sz="0" w:space="0" w:color="auto"/>
      </w:divBdr>
    </w:div>
    <w:div w:id="661466897">
      <w:bodyDiv w:val="1"/>
      <w:marLeft w:val="0"/>
      <w:marRight w:val="0"/>
      <w:marTop w:val="0"/>
      <w:marBottom w:val="0"/>
      <w:divBdr>
        <w:top w:val="none" w:sz="0" w:space="0" w:color="auto"/>
        <w:left w:val="none" w:sz="0" w:space="0" w:color="auto"/>
        <w:bottom w:val="none" w:sz="0" w:space="0" w:color="auto"/>
        <w:right w:val="none" w:sz="0" w:space="0" w:color="auto"/>
      </w:divBdr>
    </w:div>
    <w:div w:id="1224294535">
      <w:bodyDiv w:val="1"/>
      <w:marLeft w:val="0"/>
      <w:marRight w:val="0"/>
      <w:marTop w:val="0"/>
      <w:marBottom w:val="0"/>
      <w:divBdr>
        <w:top w:val="none" w:sz="0" w:space="0" w:color="auto"/>
        <w:left w:val="none" w:sz="0" w:space="0" w:color="auto"/>
        <w:bottom w:val="none" w:sz="0" w:space="0" w:color="auto"/>
        <w:right w:val="none" w:sz="0" w:space="0" w:color="auto"/>
      </w:divBdr>
    </w:div>
    <w:div w:id="1558932250">
      <w:bodyDiv w:val="1"/>
      <w:marLeft w:val="0"/>
      <w:marRight w:val="0"/>
      <w:marTop w:val="0"/>
      <w:marBottom w:val="0"/>
      <w:divBdr>
        <w:top w:val="none" w:sz="0" w:space="0" w:color="auto"/>
        <w:left w:val="none" w:sz="0" w:space="0" w:color="auto"/>
        <w:bottom w:val="none" w:sz="0" w:space="0" w:color="auto"/>
        <w:right w:val="none" w:sz="0" w:space="0" w:color="auto"/>
      </w:divBdr>
    </w:div>
    <w:div w:id="1661470826">
      <w:bodyDiv w:val="1"/>
      <w:marLeft w:val="0"/>
      <w:marRight w:val="0"/>
      <w:marTop w:val="0"/>
      <w:marBottom w:val="0"/>
      <w:divBdr>
        <w:top w:val="none" w:sz="0" w:space="0" w:color="auto"/>
        <w:left w:val="none" w:sz="0" w:space="0" w:color="auto"/>
        <w:bottom w:val="none" w:sz="0" w:space="0" w:color="auto"/>
        <w:right w:val="none" w:sz="0" w:space="0" w:color="auto"/>
      </w:divBdr>
    </w:div>
    <w:div w:id="1728839915">
      <w:bodyDiv w:val="1"/>
      <w:marLeft w:val="0"/>
      <w:marRight w:val="0"/>
      <w:marTop w:val="0"/>
      <w:marBottom w:val="0"/>
      <w:divBdr>
        <w:top w:val="none" w:sz="0" w:space="0" w:color="auto"/>
        <w:left w:val="none" w:sz="0" w:space="0" w:color="auto"/>
        <w:bottom w:val="none" w:sz="0" w:space="0" w:color="auto"/>
        <w:right w:val="none" w:sz="0" w:space="0" w:color="auto"/>
      </w:divBdr>
    </w:div>
    <w:div w:id="212770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B1B68"/>
    <w:rsid w:val="00160241"/>
    <w:rsid w:val="00161B5E"/>
    <w:rsid w:val="002B5F47"/>
    <w:rsid w:val="003A1E4B"/>
    <w:rsid w:val="00455EB5"/>
    <w:rsid w:val="00461C1C"/>
    <w:rsid w:val="004E2027"/>
    <w:rsid w:val="005F21F3"/>
    <w:rsid w:val="008D56EB"/>
    <w:rsid w:val="008F6A9B"/>
    <w:rsid w:val="00956174"/>
    <w:rsid w:val="00A241DF"/>
    <w:rsid w:val="00AD2850"/>
    <w:rsid w:val="00BE0F2D"/>
    <w:rsid w:val="00C03643"/>
    <w:rsid w:val="00C2797F"/>
    <w:rsid w:val="00C80225"/>
    <w:rsid w:val="00D228C9"/>
    <w:rsid w:val="00DB5324"/>
    <w:rsid w:val="00E97654"/>
    <w:rsid w:val="00EA555A"/>
    <w:rsid w:val="00F11605"/>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38C94-744B-48EF-98E6-13DC7271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2395</Words>
  <Characters>13655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Peter Robertson</cp:lastModifiedBy>
  <cp:revision>7</cp:revision>
  <cp:lastPrinted>2015-03-18T23:05:00Z</cp:lastPrinted>
  <dcterms:created xsi:type="dcterms:W3CDTF">2015-03-19T21:13:00Z</dcterms:created>
  <dcterms:modified xsi:type="dcterms:W3CDTF">2015-03-22T15:33:00Z</dcterms:modified>
</cp:coreProperties>
</file>